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55A0509D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F018A4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  </w:t>
      </w:r>
      <w:r w:rsidR="00F018A4">
        <w:rPr>
          <w:b/>
          <w:bCs/>
          <w:color w:val="000000"/>
          <w:sz w:val="21"/>
          <w:szCs w:val="21"/>
        </w:rPr>
        <w:t>Holter</w:t>
      </w:r>
      <w:r w:rsidR="00586C01">
        <w:rPr>
          <w:b/>
          <w:bCs/>
          <w:color w:val="000000"/>
          <w:sz w:val="21"/>
          <w:szCs w:val="21"/>
        </w:rPr>
        <w:t xml:space="preserve"> EKG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02535DD0" w:rsidR="001A1159" w:rsidRDefault="00F018A4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Holter</w:t>
            </w:r>
            <w:r w:rsidR="00586C01">
              <w:rPr>
                <w:b/>
                <w:bCs/>
                <w:color w:val="000000"/>
                <w:sz w:val="21"/>
                <w:szCs w:val="21"/>
              </w:rPr>
              <w:t xml:space="preserve"> EKG</w:t>
            </w:r>
          </w:p>
          <w:p w14:paraId="732AA576" w14:textId="4091E401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F018A4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043CBE28" w14:textId="4D78B4F0" w:rsidR="00D6323E" w:rsidRDefault="0003043F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7C064604" w:rsidR="00D6323E" w:rsidRDefault="0003043F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3043F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754D3"/>
    <w:rsid w:val="0081177B"/>
    <w:rsid w:val="0084238B"/>
    <w:rsid w:val="009B36F3"/>
    <w:rsid w:val="009C6775"/>
    <w:rsid w:val="00A36360"/>
    <w:rsid w:val="00A85A3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dcterms:created xsi:type="dcterms:W3CDTF">2026-02-16T08:27:00Z</dcterms:created>
  <dcterms:modified xsi:type="dcterms:W3CDTF">2026-02-16T08:29:00Z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